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08" w:rsidRPr="001C3A08" w:rsidRDefault="008A6C93" w:rsidP="001C3A08">
      <w:pPr>
        <w:jc w:val="center"/>
        <w:rPr>
          <w:b/>
          <w:sz w:val="24"/>
          <w:szCs w:val="24"/>
          <w:u w:val="single"/>
        </w:rPr>
      </w:pPr>
      <w:bookmarkStart w:id="0" w:name="_GoBack"/>
      <w:bookmarkEnd w:id="0"/>
      <w:r>
        <w:rPr>
          <w:b/>
          <w:sz w:val="24"/>
          <w:szCs w:val="24"/>
          <w:u w:val="single"/>
        </w:rPr>
        <w:t>Student/Learning Support Service</w:t>
      </w:r>
      <w:r w:rsidR="001C3A08" w:rsidRPr="001C3A08">
        <w:rPr>
          <w:b/>
          <w:sz w:val="24"/>
          <w:szCs w:val="24"/>
          <w:u w:val="single"/>
        </w:rPr>
        <w:t xml:space="preserve"> Program Three-Year Assessment Cycle </w:t>
      </w:r>
      <w:r w:rsidR="001C3A08">
        <w:rPr>
          <w:b/>
          <w:sz w:val="24"/>
          <w:szCs w:val="24"/>
          <w:u w:val="single"/>
        </w:rPr>
        <w:t>Calendar</w:t>
      </w:r>
    </w:p>
    <w:p w:rsidR="00B53104" w:rsidRPr="00B40BF2" w:rsidRDefault="00B53104">
      <w:pPr>
        <w:rPr>
          <w:sz w:val="24"/>
          <w:szCs w:val="24"/>
          <w:u w:val="single"/>
        </w:rPr>
      </w:pPr>
      <w:r w:rsidRPr="00B40BF2">
        <w:rPr>
          <w:sz w:val="24"/>
          <w:szCs w:val="24"/>
          <w:u w:val="single"/>
        </w:rPr>
        <w:t>Directions:</w:t>
      </w:r>
    </w:p>
    <w:p w:rsidR="00344F19" w:rsidRDefault="00344F19" w:rsidP="00B53104">
      <w:pPr>
        <w:pStyle w:val="ListParagraph"/>
        <w:numPr>
          <w:ilvl w:val="0"/>
          <w:numId w:val="2"/>
        </w:numPr>
        <w:rPr>
          <w:sz w:val="24"/>
          <w:szCs w:val="24"/>
        </w:rPr>
      </w:pPr>
      <w:bookmarkStart w:id="1" w:name="_Hlk102053504"/>
      <w:r>
        <w:rPr>
          <w:sz w:val="24"/>
          <w:szCs w:val="24"/>
        </w:rPr>
        <w:t xml:space="preserve">Identify the </w:t>
      </w:r>
      <w:r w:rsidR="001B203E">
        <w:rPr>
          <w:sz w:val="24"/>
          <w:szCs w:val="24"/>
        </w:rPr>
        <w:t>student/learning support services</w:t>
      </w:r>
      <w:r>
        <w:rPr>
          <w:sz w:val="24"/>
          <w:szCs w:val="24"/>
        </w:rPr>
        <w:t xml:space="preserve"> program and who coordinates assessment for the program. Coordination minimally involves ensuring that the scheduled </w:t>
      </w:r>
      <w:r w:rsidR="001B203E">
        <w:rPr>
          <w:sz w:val="24"/>
          <w:szCs w:val="24"/>
        </w:rPr>
        <w:t>PSLOs</w:t>
      </w:r>
      <w:r>
        <w:rPr>
          <w:sz w:val="24"/>
          <w:szCs w:val="24"/>
        </w:rPr>
        <w:t xml:space="preserve"> are assessed </w:t>
      </w:r>
      <w:r w:rsidR="001B203E">
        <w:rPr>
          <w:sz w:val="24"/>
          <w:szCs w:val="24"/>
        </w:rPr>
        <w:t xml:space="preserve">at least once within the three-year cycle, that an authentic assessment method is implemented, and that results are discussed with program staff. However, staff are encouraged to assess more frequently, especially if the results are reviewed </w:t>
      </w:r>
      <w:r w:rsidR="00651088">
        <w:rPr>
          <w:sz w:val="24"/>
          <w:szCs w:val="24"/>
        </w:rPr>
        <w:t>more frequently</w:t>
      </w:r>
      <w:r w:rsidR="001B203E">
        <w:rPr>
          <w:sz w:val="24"/>
          <w:szCs w:val="24"/>
        </w:rPr>
        <w:t xml:space="preserve"> (e.g., annually). </w:t>
      </w:r>
    </w:p>
    <w:p w:rsidR="002402EB" w:rsidRDefault="002402EB" w:rsidP="002402EB">
      <w:pPr>
        <w:pStyle w:val="ListParagraph"/>
        <w:rPr>
          <w:sz w:val="24"/>
          <w:szCs w:val="24"/>
        </w:rPr>
      </w:pPr>
    </w:p>
    <w:p w:rsidR="002402EB" w:rsidRDefault="00B53104" w:rsidP="002402EB">
      <w:pPr>
        <w:pStyle w:val="ListParagraph"/>
        <w:numPr>
          <w:ilvl w:val="0"/>
          <w:numId w:val="2"/>
        </w:numPr>
        <w:rPr>
          <w:sz w:val="24"/>
          <w:szCs w:val="24"/>
        </w:rPr>
      </w:pPr>
      <w:r>
        <w:rPr>
          <w:sz w:val="24"/>
          <w:szCs w:val="24"/>
        </w:rPr>
        <w:t xml:space="preserve">List all </w:t>
      </w:r>
      <w:r w:rsidR="001B203E">
        <w:rPr>
          <w:sz w:val="24"/>
          <w:szCs w:val="24"/>
        </w:rPr>
        <w:t>PSLOs</w:t>
      </w:r>
      <w:r>
        <w:rPr>
          <w:sz w:val="24"/>
          <w:szCs w:val="24"/>
        </w:rPr>
        <w:t xml:space="preserve"> under the year and semester in which they will be assessed.</w:t>
      </w:r>
      <w:r w:rsidR="00B71301">
        <w:rPr>
          <w:sz w:val="24"/>
          <w:szCs w:val="24"/>
        </w:rPr>
        <w:t xml:space="preserve"> Key terms from each PSLO are sufficient.</w:t>
      </w:r>
      <w:r>
        <w:rPr>
          <w:sz w:val="24"/>
          <w:szCs w:val="24"/>
        </w:rPr>
        <w:t xml:space="preserve"> </w:t>
      </w:r>
      <w:r w:rsidR="00B40BF2">
        <w:rPr>
          <w:sz w:val="24"/>
          <w:szCs w:val="24"/>
        </w:rPr>
        <w:t xml:space="preserve"> </w:t>
      </w:r>
    </w:p>
    <w:p w:rsidR="002402EB" w:rsidRPr="002402EB" w:rsidRDefault="002402EB" w:rsidP="002402EB">
      <w:pPr>
        <w:pStyle w:val="ListParagraph"/>
        <w:rPr>
          <w:sz w:val="24"/>
          <w:szCs w:val="24"/>
        </w:rPr>
      </w:pPr>
    </w:p>
    <w:p w:rsidR="001B203E" w:rsidRDefault="00360251" w:rsidP="001B203E">
      <w:pPr>
        <w:pStyle w:val="ListParagraph"/>
        <w:numPr>
          <w:ilvl w:val="0"/>
          <w:numId w:val="2"/>
        </w:numPr>
        <w:rPr>
          <w:sz w:val="24"/>
          <w:szCs w:val="24"/>
        </w:rPr>
      </w:pPr>
      <w:r>
        <w:rPr>
          <w:sz w:val="24"/>
          <w:szCs w:val="24"/>
        </w:rPr>
        <w:t xml:space="preserve">Optional: </w:t>
      </w:r>
      <w:r w:rsidR="00B53104" w:rsidRPr="002402EB">
        <w:rPr>
          <w:sz w:val="24"/>
          <w:szCs w:val="24"/>
        </w:rPr>
        <w:t xml:space="preserve">In the </w:t>
      </w:r>
      <w:r w:rsidR="00D85F6D">
        <w:rPr>
          <w:sz w:val="24"/>
          <w:szCs w:val="24"/>
        </w:rPr>
        <w:t>last</w:t>
      </w:r>
      <w:r w:rsidR="00B53104" w:rsidRPr="002402EB">
        <w:rPr>
          <w:sz w:val="24"/>
          <w:szCs w:val="24"/>
        </w:rPr>
        <w:t xml:space="preserve"> row, list which of </w:t>
      </w:r>
      <w:r w:rsidR="001B203E">
        <w:rPr>
          <w:sz w:val="24"/>
          <w:szCs w:val="24"/>
        </w:rPr>
        <w:t>the PSLOs</w:t>
      </w:r>
      <w:r w:rsidR="00B53104" w:rsidRPr="002402EB">
        <w:rPr>
          <w:sz w:val="24"/>
          <w:szCs w:val="24"/>
        </w:rPr>
        <w:t xml:space="preserve"> </w:t>
      </w:r>
      <w:r w:rsidR="001B203E">
        <w:rPr>
          <w:sz w:val="24"/>
          <w:szCs w:val="24"/>
        </w:rPr>
        <w:t xml:space="preserve">that align with the featured ISLO </w:t>
      </w:r>
      <w:r w:rsidR="00B53104" w:rsidRPr="002402EB">
        <w:rPr>
          <w:sz w:val="24"/>
          <w:szCs w:val="24"/>
        </w:rPr>
        <w:t xml:space="preserve">will be used to assess the featured ISLO. For example, for which </w:t>
      </w:r>
      <w:r w:rsidR="001B203E">
        <w:rPr>
          <w:sz w:val="24"/>
          <w:szCs w:val="24"/>
        </w:rPr>
        <w:t>PSLOs</w:t>
      </w:r>
      <w:r w:rsidR="00B53104" w:rsidRPr="002402EB">
        <w:rPr>
          <w:sz w:val="24"/>
          <w:szCs w:val="24"/>
        </w:rPr>
        <w:t xml:space="preserve"> that will be assessed </w:t>
      </w:r>
      <w:r w:rsidR="00651088">
        <w:rPr>
          <w:sz w:val="24"/>
          <w:szCs w:val="24"/>
        </w:rPr>
        <w:t xml:space="preserve">in 2022-2023 </w:t>
      </w:r>
      <w:r w:rsidR="00B53104" w:rsidRPr="002402EB">
        <w:rPr>
          <w:sz w:val="24"/>
          <w:szCs w:val="24"/>
        </w:rPr>
        <w:t>can also be used to assess the Effective Communication ISLO?</w:t>
      </w:r>
    </w:p>
    <w:bookmarkEnd w:id="1"/>
    <w:p w:rsidR="001B203E" w:rsidRPr="001B203E" w:rsidRDefault="001B203E" w:rsidP="001B203E">
      <w:pPr>
        <w:pStyle w:val="ListParagraph"/>
        <w:rPr>
          <w:sz w:val="24"/>
          <w:szCs w:val="24"/>
        </w:rPr>
      </w:pPr>
    </w:p>
    <w:p w:rsidR="00E17361" w:rsidRPr="001B203E" w:rsidRDefault="00E17361" w:rsidP="001B203E">
      <w:pPr>
        <w:pStyle w:val="ListParagraph"/>
        <w:numPr>
          <w:ilvl w:val="0"/>
          <w:numId w:val="2"/>
        </w:numPr>
        <w:rPr>
          <w:sz w:val="24"/>
          <w:szCs w:val="24"/>
        </w:rPr>
      </w:pPr>
      <w:r w:rsidRPr="001B203E">
        <w:rPr>
          <w:sz w:val="24"/>
          <w:szCs w:val="24"/>
        </w:rPr>
        <w:t>Save this Three-Year Assessment Cycle with the program name (e.g., guardian scholars program).</w:t>
      </w:r>
    </w:p>
    <w:p w:rsidR="00E17361" w:rsidRDefault="00E17361" w:rsidP="00E17361">
      <w:pPr>
        <w:pStyle w:val="ListParagraph"/>
        <w:rPr>
          <w:sz w:val="24"/>
          <w:szCs w:val="24"/>
        </w:rPr>
      </w:pPr>
    </w:p>
    <w:p w:rsidR="00B53104" w:rsidRDefault="00B53104" w:rsidP="00B53104">
      <w:pPr>
        <w:pStyle w:val="ListParagraph"/>
        <w:numPr>
          <w:ilvl w:val="0"/>
          <w:numId w:val="2"/>
        </w:numPr>
        <w:rPr>
          <w:sz w:val="24"/>
          <w:szCs w:val="24"/>
        </w:rPr>
      </w:pPr>
      <w:r>
        <w:rPr>
          <w:sz w:val="24"/>
          <w:szCs w:val="24"/>
        </w:rPr>
        <w:t xml:space="preserve">Send </w:t>
      </w:r>
      <w:r w:rsidR="00D85F6D">
        <w:rPr>
          <w:sz w:val="24"/>
          <w:szCs w:val="24"/>
        </w:rPr>
        <w:t>this Three</w:t>
      </w:r>
      <w:r w:rsidR="001532A8">
        <w:rPr>
          <w:sz w:val="24"/>
          <w:szCs w:val="24"/>
        </w:rPr>
        <w:t>-</w:t>
      </w:r>
      <w:r w:rsidR="00D85F6D">
        <w:rPr>
          <w:sz w:val="24"/>
          <w:szCs w:val="24"/>
        </w:rPr>
        <w:t xml:space="preserve">Year Assessment Cycle </w:t>
      </w:r>
      <w:r w:rsidR="00651088">
        <w:rPr>
          <w:sz w:val="24"/>
          <w:szCs w:val="24"/>
        </w:rPr>
        <w:t xml:space="preserve">by Friday, May 20, </w:t>
      </w:r>
      <w:r>
        <w:rPr>
          <w:sz w:val="24"/>
          <w:szCs w:val="24"/>
        </w:rPr>
        <w:t xml:space="preserve">to Karen Wong </w:t>
      </w:r>
      <w:r w:rsidR="002402EB">
        <w:rPr>
          <w:sz w:val="24"/>
          <w:szCs w:val="24"/>
        </w:rPr>
        <w:t xml:space="preserve">at </w:t>
      </w:r>
      <w:hyperlink r:id="rId6" w:history="1">
        <w:r w:rsidR="002402EB" w:rsidRPr="00E01C7B">
          <w:rPr>
            <w:rStyle w:val="Hyperlink"/>
            <w:sz w:val="24"/>
            <w:szCs w:val="24"/>
          </w:rPr>
          <w:t>wongk@smccd.edu</w:t>
        </w:r>
      </w:hyperlink>
      <w:r w:rsidR="002402EB">
        <w:rPr>
          <w:sz w:val="24"/>
          <w:szCs w:val="24"/>
        </w:rPr>
        <w:t xml:space="preserve"> </w:t>
      </w:r>
      <w:r>
        <w:rPr>
          <w:sz w:val="24"/>
          <w:szCs w:val="24"/>
        </w:rPr>
        <w:t xml:space="preserve">as a word file. </w:t>
      </w:r>
    </w:p>
    <w:p w:rsidR="00B53104" w:rsidRPr="00344F19" w:rsidRDefault="00B53104" w:rsidP="00344F19">
      <w:pPr>
        <w:pStyle w:val="ListParagraph"/>
        <w:rPr>
          <w:sz w:val="24"/>
          <w:szCs w:val="24"/>
        </w:rPr>
      </w:pPr>
    </w:p>
    <w:p w:rsidR="00B40BF2" w:rsidRDefault="00B40BF2" w:rsidP="00B53104">
      <w:pPr>
        <w:rPr>
          <w:b/>
          <w:sz w:val="24"/>
          <w:szCs w:val="24"/>
        </w:rPr>
      </w:pPr>
    </w:p>
    <w:p w:rsidR="00B40BF2" w:rsidRDefault="00B40BF2" w:rsidP="00B53104">
      <w:pPr>
        <w:rPr>
          <w:b/>
          <w:sz w:val="24"/>
          <w:szCs w:val="24"/>
        </w:rPr>
      </w:pPr>
    </w:p>
    <w:p w:rsidR="00B40BF2" w:rsidRDefault="00B40BF2" w:rsidP="00B53104">
      <w:pPr>
        <w:rPr>
          <w:b/>
          <w:sz w:val="24"/>
          <w:szCs w:val="24"/>
        </w:rPr>
      </w:pPr>
    </w:p>
    <w:p w:rsidR="00B40BF2" w:rsidRDefault="00B40BF2" w:rsidP="00B53104">
      <w:pPr>
        <w:rPr>
          <w:b/>
          <w:sz w:val="24"/>
          <w:szCs w:val="24"/>
        </w:rPr>
      </w:pPr>
    </w:p>
    <w:p w:rsidR="00B40BF2" w:rsidRDefault="00B40BF2" w:rsidP="00B53104">
      <w:pPr>
        <w:rPr>
          <w:b/>
          <w:sz w:val="24"/>
          <w:szCs w:val="24"/>
        </w:rPr>
      </w:pPr>
    </w:p>
    <w:p w:rsidR="00B40BF2" w:rsidRDefault="00B40BF2" w:rsidP="00B53104">
      <w:pPr>
        <w:rPr>
          <w:b/>
          <w:sz w:val="24"/>
          <w:szCs w:val="24"/>
        </w:rPr>
      </w:pPr>
    </w:p>
    <w:p w:rsidR="00B40BF2" w:rsidRDefault="00B40BF2" w:rsidP="00B53104">
      <w:pPr>
        <w:rPr>
          <w:b/>
          <w:sz w:val="24"/>
          <w:szCs w:val="24"/>
        </w:rPr>
      </w:pPr>
    </w:p>
    <w:p w:rsidR="004C10BB" w:rsidRPr="002402EB" w:rsidRDefault="00B40BF2" w:rsidP="00B53104">
      <w:pPr>
        <w:rPr>
          <w:b/>
          <w:sz w:val="24"/>
          <w:szCs w:val="24"/>
        </w:rPr>
      </w:pPr>
      <w:r>
        <w:rPr>
          <w:b/>
          <w:noProof/>
          <w:sz w:val="24"/>
          <w:szCs w:val="24"/>
        </w:rPr>
        <w:lastRenderedPageBreak/>
        <w:drawing>
          <wp:inline distT="0" distB="0" distL="0" distR="0">
            <wp:extent cx="2114550" cy="50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_logo_horiz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635" cy="523795"/>
                    </a:xfrm>
                    <a:prstGeom prst="rect">
                      <a:avLst/>
                    </a:prstGeom>
                  </pic:spPr>
                </pic:pic>
              </a:graphicData>
            </a:graphic>
          </wp:inline>
        </w:drawing>
      </w:r>
      <w:r>
        <w:rPr>
          <w:b/>
          <w:sz w:val="24"/>
          <w:szCs w:val="24"/>
        </w:rPr>
        <w:t xml:space="preserve">                   </w:t>
      </w:r>
      <w:r w:rsidR="00D85F6D">
        <w:rPr>
          <w:b/>
          <w:sz w:val="24"/>
          <w:szCs w:val="24"/>
        </w:rPr>
        <w:t xml:space="preserve">  </w:t>
      </w:r>
      <w:r w:rsidR="00AC42BD" w:rsidRPr="002402EB">
        <w:rPr>
          <w:b/>
          <w:sz w:val="24"/>
          <w:szCs w:val="24"/>
        </w:rPr>
        <w:t>Three Year Assessment Cycle for Fall 2022- Spring 2025</w:t>
      </w:r>
    </w:p>
    <w:p w:rsidR="009B6245" w:rsidRDefault="009B6245">
      <w:pPr>
        <w:rPr>
          <w:sz w:val="24"/>
          <w:szCs w:val="24"/>
        </w:rPr>
      </w:pPr>
      <w:r w:rsidRPr="009B6245">
        <w:rPr>
          <w:sz w:val="24"/>
          <w:szCs w:val="24"/>
        </w:rPr>
        <w:t xml:space="preserve">Program Name: </w:t>
      </w:r>
    </w:p>
    <w:p w:rsidR="00344F19" w:rsidRPr="009B6245" w:rsidRDefault="00344F19">
      <w:pPr>
        <w:rPr>
          <w:sz w:val="24"/>
          <w:szCs w:val="24"/>
        </w:rPr>
      </w:pPr>
      <w:r>
        <w:rPr>
          <w:sz w:val="24"/>
          <w:szCs w:val="24"/>
        </w:rPr>
        <w:t xml:space="preserve">Assessment Coordinator: </w:t>
      </w:r>
    </w:p>
    <w:tbl>
      <w:tblPr>
        <w:tblStyle w:val="TableGrid"/>
        <w:tblW w:w="0" w:type="auto"/>
        <w:tblLook w:val="04A0" w:firstRow="1" w:lastRow="0" w:firstColumn="1" w:lastColumn="0" w:noHBand="0" w:noVBand="1"/>
      </w:tblPr>
      <w:tblGrid>
        <w:gridCol w:w="2337"/>
        <w:gridCol w:w="3328"/>
        <w:gridCol w:w="3420"/>
        <w:gridCol w:w="3780"/>
      </w:tblGrid>
      <w:tr w:rsidR="00165EA8" w:rsidRPr="009B6245" w:rsidTr="00D85F6D">
        <w:tc>
          <w:tcPr>
            <w:tcW w:w="2337" w:type="dxa"/>
            <w:shd w:val="clear" w:color="auto" w:fill="C00000"/>
          </w:tcPr>
          <w:p w:rsidR="00165EA8" w:rsidRPr="007A6C5D" w:rsidRDefault="00165EA8" w:rsidP="007A6C5D">
            <w:pPr>
              <w:jc w:val="center"/>
              <w:rPr>
                <w:b/>
                <w:sz w:val="24"/>
                <w:szCs w:val="24"/>
              </w:rPr>
            </w:pPr>
          </w:p>
        </w:tc>
        <w:tc>
          <w:tcPr>
            <w:tcW w:w="3328" w:type="dxa"/>
            <w:shd w:val="clear" w:color="auto" w:fill="C00000"/>
          </w:tcPr>
          <w:p w:rsidR="00165EA8" w:rsidRPr="007A6C5D" w:rsidRDefault="00165EA8" w:rsidP="007A6C5D">
            <w:pPr>
              <w:jc w:val="center"/>
              <w:rPr>
                <w:b/>
                <w:sz w:val="24"/>
                <w:szCs w:val="24"/>
              </w:rPr>
            </w:pPr>
            <w:r w:rsidRPr="007A6C5D">
              <w:rPr>
                <w:b/>
                <w:sz w:val="24"/>
                <w:szCs w:val="24"/>
              </w:rPr>
              <w:t>2022-2023</w:t>
            </w:r>
          </w:p>
        </w:tc>
        <w:tc>
          <w:tcPr>
            <w:tcW w:w="3420" w:type="dxa"/>
            <w:shd w:val="clear" w:color="auto" w:fill="C00000"/>
          </w:tcPr>
          <w:p w:rsidR="00165EA8" w:rsidRPr="007A6C5D" w:rsidRDefault="00165EA8" w:rsidP="007A6C5D">
            <w:pPr>
              <w:jc w:val="center"/>
              <w:rPr>
                <w:b/>
                <w:sz w:val="24"/>
                <w:szCs w:val="24"/>
              </w:rPr>
            </w:pPr>
            <w:r w:rsidRPr="007A6C5D">
              <w:rPr>
                <w:b/>
                <w:sz w:val="24"/>
                <w:szCs w:val="24"/>
              </w:rPr>
              <w:t>2023-2024</w:t>
            </w:r>
          </w:p>
        </w:tc>
        <w:tc>
          <w:tcPr>
            <w:tcW w:w="3780" w:type="dxa"/>
            <w:shd w:val="clear" w:color="auto" w:fill="C00000"/>
          </w:tcPr>
          <w:p w:rsidR="00165EA8" w:rsidRPr="007A6C5D" w:rsidRDefault="00165EA8" w:rsidP="007A6C5D">
            <w:pPr>
              <w:jc w:val="center"/>
              <w:rPr>
                <w:b/>
                <w:sz w:val="24"/>
                <w:szCs w:val="24"/>
              </w:rPr>
            </w:pPr>
            <w:r w:rsidRPr="007A6C5D">
              <w:rPr>
                <w:b/>
                <w:sz w:val="24"/>
                <w:szCs w:val="24"/>
              </w:rPr>
              <w:t>2024-2025</w:t>
            </w:r>
          </w:p>
        </w:tc>
      </w:tr>
      <w:tr w:rsidR="00165EA8" w:rsidRPr="009B6245" w:rsidTr="00503F77">
        <w:tc>
          <w:tcPr>
            <w:tcW w:w="2337" w:type="dxa"/>
          </w:tcPr>
          <w:p w:rsidR="00B40BF2" w:rsidRDefault="00B40BF2" w:rsidP="007A6C5D">
            <w:pPr>
              <w:jc w:val="center"/>
              <w:rPr>
                <w:b/>
                <w:sz w:val="24"/>
                <w:szCs w:val="24"/>
              </w:rPr>
            </w:pPr>
          </w:p>
          <w:p w:rsidR="00165EA8" w:rsidRDefault="00165EA8" w:rsidP="007A6C5D">
            <w:pPr>
              <w:jc w:val="center"/>
              <w:rPr>
                <w:b/>
                <w:sz w:val="24"/>
                <w:szCs w:val="24"/>
              </w:rPr>
            </w:pPr>
            <w:r w:rsidRPr="007A6C5D">
              <w:rPr>
                <w:b/>
                <w:sz w:val="24"/>
                <w:szCs w:val="24"/>
              </w:rPr>
              <w:t>Fall</w:t>
            </w:r>
          </w:p>
          <w:p w:rsidR="00B40BF2" w:rsidRPr="007A6C5D" w:rsidRDefault="00B40BF2" w:rsidP="007A6C5D">
            <w:pPr>
              <w:jc w:val="center"/>
              <w:rPr>
                <w:b/>
                <w:sz w:val="24"/>
                <w:szCs w:val="24"/>
              </w:rPr>
            </w:pPr>
          </w:p>
        </w:tc>
        <w:tc>
          <w:tcPr>
            <w:tcW w:w="3328" w:type="dxa"/>
          </w:tcPr>
          <w:p w:rsidR="00165EA8" w:rsidRDefault="00165EA8">
            <w:pPr>
              <w:rPr>
                <w:sz w:val="24"/>
                <w:szCs w:val="24"/>
              </w:rPr>
            </w:pPr>
          </w:p>
          <w:p w:rsidR="00B40BF2" w:rsidRPr="009B6245" w:rsidRDefault="00B40BF2">
            <w:pPr>
              <w:rPr>
                <w:sz w:val="24"/>
                <w:szCs w:val="24"/>
              </w:rPr>
            </w:pPr>
          </w:p>
        </w:tc>
        <w:tc>
          <w:tcPr>
            <w:tcW w:w="3420" w:type="dxa"/>
          </w:tcPr>
          <w:p w:rsidR="00165EA8" w:rsidRPr="009B6245" w:rsidRDefault="00165EA8">
            <w:pPr>
              <w:rPr>
                <w:sz w:val="24"/>
                <w:szCs w:val="24"/>
              </w:rPr>
            </w:pPr>
          </w:p>
        </w:tc>
        <w:tc>
          <w:tcPr>
            <w:tcW w:w="3780" w:type="dxa"/>
          </w:tcPr>
          <w:p w:rsidR="00165EA8" w:rsidRPr="009B6245" w:rsidRDefault="00165EA8">
            <w:pPr>
              <w:rPr>
                <w:sz w:val="24"/>
                <w:szCs w:val="24"/>
              </w:rPr>
            </w:pPr>
          </w:p>
        </w:tc>
      </w:tr>
      <w:tr w:rsidR="00165EA8" w:rsidRPr="009B6245" w:rsidTr="00503F77">
        <w:tc>
          <w:tcPr>
            <w:tcW w:w="2337" w:type="dxa"/>
          </w:tcPr>
          <w:p w:rsidR="00B40BF2" w:rsidRDefault="00B40BF2" w:rsidP="007A6C5D">
            <w:pPr>
              <w:jc w:val="center"/>
              <w:rPr>
                <w:b/>
                <w:sz w:val="24"/>
                <w:szCs w:val="24"/>
              </w:rPr>
            </w:pPr>
          </w:p>
          <w:p w:rsidR="00165EA8" w:rsidRDefault="00165EA8" w:rsidP="007A6C5D">
            <w:pPr>
              <w:jc w:val="center"/>
              <w:rPr>
                <w:b/>
                <w:sz w:val="24"/>
                <w:szCs w:val="24"/>
              </w:rPr>
            </w:pPr>
            <w:r w:rsidRPr="007A6C5D">
              <w:rPr>
                <w:b/>
                <w:sz w:val="24"/>
                <w:szCs w:val="24"/>
              </w:rPr>
              <w:t>Spring</w:t>
            </w:r>
          </w:p>
          <w:p w:rsidR="00B40BF2" w:rsidRPr="007A6C5D" w:rsidRDefault="00B40BF2" w:rsidP="007A6C5D">
            <w:pPr>
              <w:jc w:val="center"/>
              <w:rPr>
                <w:b/>
                <w:sz w:val="24"/>
                <w:szCs w:val="24"/>
              </w:rPr>
            </w:pPr>
          </w:p>
        </w:tc>
        <w:tc>
          <w:tcPr>
            <w:tcW w:w="3328" w:type="dxa"/>
          </w:tcPr>
          <w:p w:rsidR="00165EA8" w:rsidRDefault="00165EA8">
            <w:pPr>
              <w:rPr>
                <w:sz w:val="24"/>
                <w:szCs w:val="24"/>
              </w:rPr>
            </w:pPr>
          </w:p>
          <w:p w:rsidR="00B40BF2" w:rsidRPr="009B6245" w:rsidRDefault="00B40BF2">
            <w:pPr>
              <w:rPr>
                <w:sz w:val="24"/>
                <w:szCs w:val="24"/>
              </w:rPr>
            </w:pPr>
          </w:p>
        </w:tc>
        <w:tc>
          <w:tcPr>
            <w:tcW w:w="3420" w:type="dxa"/>
          </w:tcPr>
          <w:p w:rsidR="00165EA8" w:rsidRPr="009B6245" w:rsidRDefault="00165EA8">
            <w:pPr>
              <w:rPr>
                <w:sz w:val="24"/>
                <w:szCs w:val="24"/>
              </w:rPr>
            </w:pPr>
          </w:p>
        </w:tc>
        <w:tc>
          <w:tcPr>
            <w:tcW w:w="3780" w:type="dxa"/>
          </w:tcPr>
          <w:p w:rsidR="00165EA8" w:rsidRPr="009B6245" w:rsidRDefault="00165EA8">
            <w:pPr>
              <w:rPr>
                <w:sz w:val="24"/>
                <w:szCs w:val="24"/>
              </w:rPr>
            </w:pPr>
          </w:p>
        </w:tc>
      </w:tr>
      <w:tr w:rsidR="00C311D6" w:rsidRPr="009B6245" w:rsidTr="00B40BF2">
        <w:tc>
          <w:tcPr>
            <w:tcW w:w="2337" w:type="dxa"/>
            <w:shd w:val="clear" w:color="auto" w:fill="D9D9D9" w:themeFill="background1" w:themeFillShade="D9"/>
          </w:tcPr>
          <w:p w:rsidR="00B40BF2" w:rsidRDefault="00B40BF2" w:rsidP="00B40BF2">
            <w:pPr>
              <w:jc w:val="center"/>
              <w:rPr>
                <w:sz w:val="24"/>
                <w:szCs w:val="24"/>
              </w:rPr>
            </w:pPr>
          </w:p>
          <w:p w:rsidR="00C311D6" w:rsidRDefault="00B40BF2" w:rsidP="00B40BF2">
            <w:pPr>
              <w:jc w:val="center"/>
              <w:rPr>
                <w:sz w:val="24"/>
                <w:szCs w:val="24"/>
              </w:rPr>
            </w:pPr>
            <w:r>
              <w:rPr>
                <w:sz w:val="24"/>
                <w:szCs w:val="24"/>
              </w:rPr>
              <w:t xml:space="preserve">Featured </w:t>
            </w:r>
            <w:hyperlink r:id="rId8" w:history="1">
              <w:r w:rsidRPr="00B40BF2">
                <w:rPr>
                  <w:rStyle w:val="Hyperlink"/>
                  <w:sz w:val="24"/>
                  <w:szCs w:val="24"/>
                </w:rPr>
                <w:t>ISLO</w:t>
              </w:r>
            </w:hyperlink>
          </w:p>
          <w:p w:rsidR="00B40BF2" w:rsidRDefault="00B40BF2" w:rsidP="00B40BF2">
            <w:pPr>
              <w:jc w:val="center"/>
              <w:rPr>
                <w:sz w:val="24"/>
                <w:szCs w:val="24"/>
              </w:rPr>
            </w:pPr>
          </w:p>
        </w:tc>
        <w:tc>
          <w:tcPr>
            <w:tcW w:w="3328" w:type="dxa"/>
            <w:shd w:val="clear" w:color="auto" w:fill="D9D9D9" w:themeFill="background1" w:themeFillShade="D9"/>
          </w:tcPr>
          <w:p w:rsidR="00B40BF2" w:rsidRDefault="00B40BF2" w:rsidP="00B40BF2">
            <w:pPr>
              <w:jc w:val="center"/>
              <w:rPr>
                <w:sz w:val="24"/>
                <w:szCs w:val="24"/>
              </w:rPr>
            </w:pPr>
          </w:p>
          <w:p w:rsidR="00C311D6" w:rsidRPr="009B6245" w:rsidRDefault="00C311D6" w:rsidP="00B40BF2">
            <w:pPr>
              <w:jc w:val="center"/>
              <w:rPr>
                <w:sz w:val="24"/>
                <w:szCs w:val="24"/>
              </w:rPr>
            </w:pPr>
            <w:r w:rsidRPr="009B6245">
              <w:rPr>
                <w:sz w:val="24"/>
                <w:szCs w:val="24"/>
              </w:rPr>
              <w:t>Effective Communication</w:t>
            </w:r>
          </w:p>
        </w:tc>
        <w:tc>
          <w:tcPr>
            <w:tcW w:w="3420" w:type="dxa"/>
            <w:shd w:val="clear" w:color="auto" w:fill="D9D9D9" w:themeFill="background1" w:themeFillShade="D9"/>
          </w:tcPr>
          <w:p w:rsidR="00B40BF2" w:rsidRDefault="00B40BF2" w:rsidP="00B40BF2">
            <w:pPr>
              <w:jc w:val="center"/>
              <w:rPr>
                <w:sz w:val="24"/>
                <w:szCs w:val="24"/>
              </w:rPr>
            </w:pPr>
          </w:p>
          <w:p w:rsidR="00C311D6" w:rsidRPr="009B6245" w:rsidRDefault="00C311D6" w:rsidP="00B40BF2">
            <w:pPr>
              <w:jc w:val="center"/>
              <w:rPr>
                <w:sz w:val="24"/>
                <w:szCs w:val="24"/>
              </w:rPr>
            </w:pPr>
            <w:r w:rsidRPr="009B6245">
              <w:rPr>
                <w:sz w:val="24"/>
                <w:szCs w:val="24"/>
              </w:rPr>
              <w:t>Information Literacy</w:t>
            </w:r>
          </w:p>
        </w:tc>
        <w:tc>
          <w:tcPr>
            <w:tcW w:w="3780" w:type="dxa"/>
            <w:shd w:val="clear" w:color="auto" w:fill="D9D9D9" w:themeFill="background1" w:themeFillShade="D9"/>
          </w:tcPr>
          <w:p w:rsidR="00B40BF2" w:rsidRDefault="00B40BF2" w:rsidP="00B40BF2">
            <w:pPr>
              <w:jc w:val="center"/>
              <w:rPr>
                <w:sz w:val="24"/>
                <w:szCs w:val="24"/>
              </w:rPr>
            </w:pPr>
          </w:p>
          <w:p w:rsidR="00C311D6" w:rsidRPr="009B6245" w:rsidRDefault="00C311D6" w:rsidP="00B40BF2">
            <w:pPr>
              <w:jc w:val="center"/>
              <w:rPr>
                <w:sz w:val="24"/>
                <w:szCs w:val="24"/>
              </w:rPr>
            </w:pPr>
            <w:r w:rsidRPr="009B6245">
              <w:rPr>
                <w:sz w:val="24"/>
                <w:szCs w:val="24"/>
              </w:rPr>
              <w:t>Citizenship</w:t>
            </w:r>
          </w:p>
        </w:tc>
      </w:tr>
      <w:tr w:rsidR="00165EA8" w:rsidRPr="009B6245" w:rsidTr="00503F77">
        <w:tc>
          <w:tcPr>
            <w:tcW w:w="2337" w:type="dxa"/>
          </w:tcPr>
          <w:p w:rsidR="00B40BF2" w:rsidRDefault="00B40BF2" w:rsidP="00B40BF2">
            <w:pPr>
              <w:jc w:val="center"/>
              <w:rPr>
                <w:sz w:val="24"/>
                <w:szCs w:val="24"/>
              </w:rPr>
            </w:pPr>
          </w:p>
          <w:p w:rsidR="00165EA8" w:rsidRDefault="00BE25C7" w:rsidP="00B40BF2">
            <w:pPr>
              <w:jc w:val="center"/>
              <w:rPr>
                <w:sz w:val="24"/>
                <w:szCs w:val="24"/>
              </w:rPr>
            </w:pPr>
            <w:r>
              <w:rPr>
                <w:sz w:val="24"/>
                <w:szCs w:val="24"/>
              </w:rPr>
              <w:t xml:space="preserve">Which of that year’s </w:t>
            </w:r>
            <w:r w:rsidR="003267F8">
              <w:rPr>
                <w:sz w:val="24"/>
                <w:szCs w:val="24"/>
              </w:rPr>
              <w:t>PSLO</w:t>
            </w:r>
            <w:r>
              <w:rPr>
                <w:sz w:val="24"/>
                <w:szCs w:val="24"/>
              </w:rPr>
              <w:t>(s) will be used to assess the f</w:t>
            </w:r>
            <w:r w:rsidR="00165EA8" w:rsidRPr="009B6245">
              <w:rPr>
                <w:sz w:val="24"/>
                <w:szCs w:val="24"/>
              </w:rPr>
              <w:t>eatured ISLO</w:t>
            </w:r>
            <w:r>
              <w:rPr>
                <w:sz w:val="24"/>
                <w:szCs w:val="24"/>
              </w:rPr>
              <w:t>?</w:t>
            </w:r>
          </w:p>
          <w:p w:rsidR="00B40BF2" w:rsidRPr="009B6245" w:rsidRDefault="00B40BF2" w:rsidP="00B40BF2">
            <w:pPr>
              <w:jc w:val="center"/>
              <w:rPr>
                <w:sz w:val="24"/>
                <w:szCs w:val="24"/>
              </w:rPr>
            </w:pPr>
          </w:p>
        </w:tc>
        <w:tc>
          <w:tcPr>
            <w:tcW w:w="3328" w:type="dxa"/>
          </w:tcPr>
          <w:p w:rsidR="00165EA8" w:rsidRDefault="00165EA8">
            <w:pPr>
              <w:rPr>
                <w:sz w:val="24"/>
                <w:szCs w:val="24"/>
              </w:rPr>
            </w:pPr>
          </w:p>
          <w:p w:rsidR="00B40BF2" w:rsidRDefault="00B40BF2">
            <w:pPr>
              <w:rPr>
                <w:sz w:val="24"/>
                <w:szCs w:val="24"/>
              </w:rPr>
            </w:pPr>
          </w:p>
          <w:p w:rsidR="00B40BF2" w:rsidRDefault="00B40BF2">
            <w:pPr>
              <w:rPr>
                <w:sz w:val="24"/>
                <w:szCs w:val="24"/>
              </w:rPr>
            </w:pPr>
          </w:p>
          <w:p w:rsidR="00B40BF2" w:rsidRDefault="00B40BF2">
            <w:pPr>
              <w:rPr>
                <w:sz w:val="24"/>
                <w:szCs w:val="24"/>
              </w:rPr>
            </w:pPr>
          </w:p>
          <w:p w:rsidR="00B40BF2" w:rsidRPr="009B6245" w:rsidRDefault="00B40BF2">
            <w:pPr>
              <w:rPr>
                <w:sz w:val="24"/>
                <w:szCs w:val="24"/>
              </w:rPr>
            </w:pPr>
          </w:p>
        </w:tc>
        <w:tc>
          <w:tcPr>
            <w:tcW w:w="3420" w:type="dxa"/>
          </w:tcPr>
          <w:p w:rsidR="00165EA8" w:rsidRPr="009B6245" w:rsidRDefault="00165EA8">
            <w:pPr>
              <w:rPr>
                <w:sz w:val="24"/>
                <w:szCs w:val="24"/>
              </w:rPr>
            </w:pPr>
          </w:p>
        </w:tc>
        <w:tc>
          <w:tcPr>
            <w:tcW w:w="3780" w:type="dxa"/>
          </w:tcPr>
          <w:p w:rsidR="00165EA8" w:rsidRPr="009B6245" w:rsidRDefault="00165EA8">
            <w:pPr>
              <w:rPr>
                <w:sz w:val="24"/>
                <w:szCs w:val="24"/>
              </w:rPr>
            </w:pPr>
          </w:p>
        </w:tc>
      </w:tr>
    </w:tbl>
    <w:p w:rsidR="009B6245" w:rsidRPr="009B6245" w:rsidRDefault="009B6245" w:rsidP="009B6245">
      <w:pPr>
        <w:rPr>
          <w:i/>
        </w:rPr>
      </w:pPr>
      <w:r w:rsidRPr="009B6245">
        <w:rPr>
          <w:i/>
        </w:rPr>
        <w:t>*Critical Thinking and Lifelong Wellness will be assessed in 2025-2026 and 2026-2027 respectively</w:t>
      </w:r>
    </w:p>
    <w:p w:rsidR="009B6245" w:rsidRDefault="009B6245">
      <w:pPr>
        <w:rPr>
          <w:sz w:val="24"/>
          <w:szCs w:val="24"/>
        </w:rPr>
      </w:pPr>
    </w:p>
    <w:sectPr w:rsidR="009B6245" w:rsidSect="00503F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C0B35"/>
    <w:multiLevelType w:val="hybridMultilevel"/>
    <w:tmpl w:val="63E0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30561"/>
    <w:multiLevelType w:val="hybridMultilevel"/>
    <w:tmpl w:val="5A48F5DC"/>
    <w:lvl w:ilvl="0" w:tplc="CE089854">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BD"/>
    <w:rsid w:val="000A249F"/>
    <w:rsid w:val="000E1E72"/>
    <w:rsid w:val="001532A8"/>
    <w:rsid w:val="00165EA8"/>
    <w:rsid w:val="001B203E"/>
    <w:rsid w:val="001C3A08"/>
    <w:rsid w:val="002402EB"/>
    <w:rsid w:val="00253F48"/>
    <w:rsid w:val="003267F8"/>
    <w:rsid w:val="00344F19"/>
    <w:rsid w:val="00360251"/>
    <w:rsid w:val="004C10BB"/>
    <w:rsid w:val="00503F77"/>
    <w:rsid w:val="00651088"/>
    <w:rsid w:val="007071A7"/>
    <w:rsid w:val="007A6C5D"/>
    <w:rsid w:val="007D3FBA"/>
    <w:rsid w:val="008A6C93"/>
    <w:rsid w:val="009734CD"/>
    <w:rsid w:val="009B6245"/>
    <w:rsid w:val="00AC42BD"/>
    <w:rsid w:val="00B40BF2"/>
    <w:rsid w:val="00B53104"/>
    <w:rsid w:val="00B71301"/>
    <w:rsid w:val="00BE25C7"/>
    <w:rsid w:val="00C311D6"/>
    <w:rsid w:val="00D85F6D"/>
    <w:rsid w:val="00E1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56258-DD3B-4ED0-958E-16C02E95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245"/>
    <w:pPr>
      <w:ind w:left="720"/>
      <w:contextualSpacing/>
    </w:pPr>
  </w:style>
  <w:style w:type="character" w:styleId="Hyperlink">
    <w:name w:val="Hyperlink"/>
    <w:basedOn w:val="DefaultParagraphFont"/>
    <w:uiPriority w:val="99"/>
    <w:unhideWhenUsed/>
    <w:rsid w:val="002402EB"/>
    <w:rPr>
      <w:color w:val="0563C1" w:themeColor="hyperlink"/>
      <w:u w:val="single"/>
    </w:rPr>
  </w:style>
  <w:style w:type="character" w:styleId="UnresolvedMention">
    <w:name w:val="Unresolved Mention"/>
    <w:basedOn w:val="DefaultParagraphFont"/>
    <w:uiPriority w:val="99"/>
    <w:semiHidden/>
    <w:unhideWhenUsed/>
    <w:rsid w:val="0024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linecollege.edu/sloac/isloassessments.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ngk@smcc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BA41-2942-46F6-81A9-4A9E7403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Karen E.</dc:creator>
  <cp:keywords/>
  <dc:description/>
  <cp:lastModifiedBy>Wong, Karen E.</cp:lastModifiedBy>
  <cp:revision>2</cp:revision>
  <dcterms:created xsi:type="dcterms:W3CDTF">2022-04-30T00:15:00Z</dcterms:created>
  <dcterms:modified xsi:type="dcterms:W3CDTF">2022-04-30T00:15:00Z</dcterms:modified>
</cp:coreProperties>
</file>