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13" w:rsidRPr="00EF4DD3" w:rsidRDefault="00A00213" w:rsidP="00A00213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 w:rsidRPr="00EF4DD3">
        <w:rPr>
          <w:rFonts w:asciiTheme="majorHAnsi" w:hAnsiTheme="majorHAnsi"/>
          <w:b/>
          <w:sz w:val="36"/>
          <w:szCs w:val="36"/>
        </w:rPr>
        <w:t>Stewardship for Equity, Equal Employment, and Diversity</w:t>
      </w:r>
    </w:p>
    <w:p w:rsidR="00DB1686" w:rsidRPr="00EF4DD3" w:rsidRDefault="00A00213" w:rsidP="00A002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EF4DD3">
        <w:rPr>
          <w:rFonts w:asciiTheme="majorHAnsi" w:hAnsiTheme="majorHAnsi"/>
          <w:b/>
          <w:sz w:val="28"/>
          <w:szCs w:val="28"/>
        </w:rPr>
        <w:t xml:space="preserve">Communication/Dissemination of Information Sub-Committee </w:t>
      </w:r>
    </w:p>
    <w:p w:rsidR="00A00213" w:rsidRPr="00EF4DD3" w:rsidRDefault="00A00213" w:rsidP="009A4E3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 xml:space="preserve">Committee Members: </w:t>
      </w:r>
      <w:r w:rsidR="009A4E36" w:rsidRPr="00EF4DD3">
        <w:rPr>
          <w:rFonts w:asciiTheme="majorHAnsi" w:hAnsiTheme="majorHAnsi"/>
          <w:sz w:val="24"/>
          <w:szCs w:val="24"/>
        </w:rPr>
        <w:t xml:space="preserve">Amory </w:t>
      </w:r>
      <w:proofErr w:type="spellStart"/>
      <w:r w:rsidR="009A4E36" w:rsidRPr="00EF4DD3">
        <w:rPr>
          <w:rFonts w:asciiTheme="majorHAnsi" w:hAnsiTheme="majorHAnsi"/>
          <w:sz w:val="24"/>
          <w:szCs w:val="24"/>
        </w:rPr>
        <w:t>Cariad</w:t>
      </w:r>
      <w:r w:rsidR="0059413A" w:rsidRPr="00EF4DD3">
        <w:rPr>
          <w:rFonts w:asciiTheme="majorHAnsi" w:hAnsiTheme="majorHAnsi"/>
          <w:sz w:val="24"/>
          <w:szCs w:val="24"/>
        </w:rPr>
        <w:t>u</w:t>
      </w:r>
      <w:r w:rsidRPr="00EF4DD3">
        <w:rPr>
          <w:rFonts w:asciiTheme="majorHAnsi" w:hAnsiTheme="majorHAnsi"/>
          <w:sz w:val="24"/>
          <w:szCs w:val="24"/>
        </w:rPr>
        <w:t>s</w:t>
      </w:r>
      <w:proofErr w:type="spellEnd"/>
      <w:r w:rsidRPr="00EF4DD3">
        <w:rPr>
          <w:rFonts w:asciiTheme="majorHAnsi" w:hAnsiTheme="majorHAnsi"/>
          <w:sz w:val="24"/>
          <w:szCs w:val="24"/>
        </w:rPr>
        <w:t xml:space="preserve">, Cherie Napier, </w:t>
      </w:r>
      <w:proofErr w:type="spellStart"/>
      <w:r w:rsidRPr="00EF4DD3">
        <w:rPr>
          <w:rFonts w:asciiTheme="majorHAnsi" w:hAnsiTheme="majorHAnsi"/>
          <w:sz w:val="24"/>
          <w:szCs w:val="24"/>
        </w:rPr>
        <w:t>Vanson</w:t>
      </w:r>
      <w:proofErr w:type="spellEnd"/>
      <w:r w:rsidRPr="00EF4DD3">
        <w:rPr>
          <w:rFonts w:asciiTheme="majorHAnsi" w:hAnsiTheme="majorHAnsi"/>
          <w:sz w:val="24"/>
          <w:szCs w:val="24"/>
        </w:rPr>
        <w:t xml:space="preserve"> Ng</w:t>
      </w:r>
      <w:r w:rsidR="0059413A" w:rsidRPr="00EF4DD3">
        <w:rPr>
          <w:rFonts w:asciiTheme="majorHAnsi" w:hAnsiTheme="majorHAnsi"/>
          <w:sz w:val="24"/>
          <w:szCs w:val="24"/>
        </w:rPr>
        <w:t>u</w:t>
      </w:r>
      <w:r w:rsidRPr="00EF4DD3">
        <w:rPr>
          <w:rFonts w:asciiTheme="majorHAnsi" w:hAnsiTheme="majorHAnsi"/>
          <w:sz w:val="24"/>
          <w:szCs w:val="24"/>
        </w:rPr>
        <w:t xml:space="preserve">yen, Regina </w:t>
      </w:r>
      <w:proofErr w:type="spellStart"/>
      <w:r w:rsidRPr="00EF4DD3">
        <w:rPr>
          <w:rFonts w:asciiTheme="majorHAnsi" w:hAnsiTheme="majorHAnsi"/>
          <w:sz w:val="24"/>
          <w:szCs w:val="24"/>
        </w:rPr>
        <w:t>Stanback</w:t>
      </w:r>
      <w:proofErr w:type="spellEnd"/>
      <w:r w:rsidRPr="00EF4DD3">
        <w:rPr>
          <w:rFonts w:asciiTheme="majorHAnsi" w:hAnsiTheme="majorHAnsi"/>
          <w:sz w:val="24"/>
          <w:szCs w:val="24"/>
        </w:rPr>
        <w:t xml:space="preserve"> Stroud</w:t>
      </w:r>
    </w:p>
    <w:p w:rsidR="0059413A" w:rsidRPr="00EF4DD3" w:rsidRDefault="0059413A" w:rsidP="00A00213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</w:p>
    <w:p w:rsidR="00A00213" w:rsidRPr="00EF4DD3" w:rsidRDefault="00A00213" w:rsidP="00A00213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EF4DD3">
        <w:rPr>
          <w:rFonts w:asciiTheme="majorHAnsi" w:hAnsiTheme="majorHAnsi"/>
          <w:b/>
          <w:sz w:val="24"/>
          <w:szCs w:val="24"/>
        </w:rPr>
        <w:t>Focus Question</w:t>
      </w:r>
    </w:p>
    <w:p w:rsidR="00A00213" w:rsidRPr="00EF4DD3" w:rsidRDefault="00A00213" w:rsidP="00A00213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How to our practices and processes in connection, entry, progress and completion impact campus equity and student success at Skyline College?</w:t>
      </w:r>
    </w:p>
    <w:p w:rsidR="00A00213" w:rsidRPr="00EF4DD3" w:rsidRDefault="00A00213">
      <w:pPr>
        <w:rPr>
          <w:rFonts w:asciiTheme="majorHAnsi" w:hAnsiTheme="majorHAnsi"/>
          <w:sz w:val="24"/>
          <w:szCs w:val="24"/>
        </w:rPr>
      </w:pPr>
    </w:p>
    <w:p w:rsidR="00A00213" w:rsidRPr="00EF4DD3" w:rsidRDefault="00A00213" w:rsidP="00A00213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EF4DD3">
        <w:rPr>
          <w:rFonts w:asciiTheme="majorHAnsi" w:hAnsiTheme="majorHAnsi"/>
          <w:b/>
          <w:sz w:val="24"/>
          <w:szCs w:val="24"/>
        </w:rPr>
        <w:t>Sub-Committee Research Question</w:t>
      </w:r>
    </w:p>
    <w:p w:rsidR="00A00213" w:rsidRPr="00EF4DD3" w:rsidRDefault="00A00213" w:rsidP="00A00213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 xml:space="preserve">Considering that a student’s financial success can affect progress, knowledge of financial aid and scholarship opportunities is important.  How </w:t>
      </w:r>
      <w:proofErr w:type="gramStart"/>
      <w:r w:rsidRPr="00EF4DD3">
        <w:rPr>
          <w:rFonts w:asciiTheme="majorHAnsi" w:hAnsiTheme="majorHAnsi"/>
          <w:sz w:val="24"/>
          <w:szCs w:val="24"/>
        </w:rPr>
        <w:t>do faculty</w:t>
      </w:r>
      <w:proofErr w:type="gramEnd"/>
      <w:r w:rsidRPr="00EF4DD3">
        <w:rPr>
          <w:rFonts w:asciiTheme="majorHAnsi" w:hAnsiTheme="majorHAnsi"/>
          <w:sz w:val="24"/>
          <w:szCs w:val="24"/>
        </w:rPr>
        <w:t xml:space="preserve"> receive and share information regarding financial aid and scholarship opportunities with Skyline College students?  What is its impact on First-Year students applying for scholarship opportunities?</w:t>
      </w:r>
    </w:p>
    <w:p w:rsidR="00EF4DD3" w:rsidRPr="00EF4DD3" w:rsidRDefault="00EF4DD3" w:rsidP="00A00213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 xml:space="preserve">The purpose of researching the above question was to look into the culture of faculty on sharing scholarship information as well as learn how </w:t>
      </w:r>
      <w:proofErr w:type="gramStart"/>
      <w:r w:rsidRPr="00EF4DD3">
        <w:rPr>
          <w:rFonts w:asciiTheme="majorHAnsi" w:hAnsiTheme="majorHAnsi"/>
          <w:sz w:val="24"/>
          <w:szCs w:val="24"/>
        </w:rPr>
        <w:t>students</w:t>
      </w:r>
      <w:proofErr w:type="gramEnd"/>
      <w:r w:rsidRPr="00EF4DD3">
        <w:rPr>
          <w:rFonts w:asciiTheme="majorHAnsi" w:hAnsiTheme="majorHAnsi"/>
          <w:sz w:val="24"/>
          <w:szCs w:val="24"/>
        </w:rPr>
        <w:t xml:space="preserve"> best received that information.</w:t>
      </w:r>
    </w:p>
    <w:p w:rsidR="00A00213" w:rsidRPr="00EF4DD3" w:rsidRDefault="00A00213" w:rsidP="00A00213">
      <w:pPr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A00213" w:rsidRPr="00EF4DD3" w:rsidRDefault="00A00213" w:rsidP="00A00213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EF4DD3">
        <w:rPr>
          <w:rFonts w:asciiTheme="majorHAnsi" w:hAnsiTheme="majorHAnsi"/>
          <w:b/>
          <w:sz w:val="24"/>
          <w:szCs w:val="24"/>
        </w:rPr>
        <w:t>Methodology</w:t>
      </w:r>
    </w:p>
    <w:p w:rsidR="00DB1F4C" w:rsidRPr="00EF4DD3" w:rsidRDefault="00A00213" w:rsidP="007B39AC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 xml:space="preserve">A hard copy survey was disseminated to 108 students from Math, English and Communications courses.  </w:t>
      </w:r>
    </w:p>
    <w:p w:rsidR="00A00213" w:rsidRPr="00EF4DD3" w:rsidRDefault="00A00213" w:rsidP="007B39AC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 xml:space="preserve">A hard copy survey was provided to 10 faculty </w:t>
      </w:r>
      <w:r w:rsidR="00DB1F4C" w:rsidRPr="00EF4DD3">
        <w:rPr>
          <w:rFonts w:asciiTheme="majorHAnsi" w:hAnsiTheme="majorHAnsi"/>
          <w:sz w:val="24"/>
          <w:szCs w:val="24"/>
        </w:rPr>
        <w:t xml:space="preserve">members </w:t>
      </w:r>
      <w:r w:rsidRPr="00EF4DD3">
        <w:rPr>
          <w:rFonts w:asciiTheme="majorHAnsi" w:hAnsiTheme="majorHAnsi"/>
          <w:sz w:val="24"/>
          <w:szCs w:val="24"/>
        </w:rPr>
        <w:t>from the Science, Math and Technology, Language Arts and Social Sciences divisions</w:t>
      </w:r>
      <w:r w:rsidR="00DB1F4C" w:rsidRPr="00EF4DD3">
        <w:rPr>
          <w:rFonts w:asciiTheme="majorHAnsi" w:hAnsiTheme="majorHAnsi"/>
          <w:sz w:val="24"/>
          <w:szCs w:val="24"/>
        </w:rPr>
        <w:t>.  Half of the 10 faculty members were involved with Learning Communities and half were not involved in Learning Communities.</w:t>
      </w:r>
    </w:p>
    <w:p w:rsidR="00DB1F4C" w:rsidRPr="00EF4DD3" w:rsidRDefault="00DB1F4C" w:rsidP="007B39AC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 xml:space="preserve">Online surveys were administered </w:t>
      </w:r>
      <w:r w:rsidR="007B39AC" w:rsidRPr="00EF4DD3">
        <w:rPr>
          <w:rFonts w:asciiTheme="majorHAnsi" w:hAnsiTheme="majorHAnsi"/>
          <w:sz w:val="24"/>
          <w:szCs w:val="24"/>
        </w:rPr>
        <w:t xml:space="preserve">through Survey Monkey.  The Faculty Survey was broadcast on Skyline Shines received 1 response.  The Student Survey was announced on </w:t>
      </w:r>
      <w:proofErr w:type="spellStart"/>
      <w:r w:rsidR="007B39AC" w:rsidRPr="00EF4DD3">
        <w:rPr>
          <w:rFonts w:asciiTheme="majorHAnsi" w:hAnsiTheme="majorHAnsi"/>
          <w:sz w:val="24"/>
          <w:szCs w:val="24"/>
        </w:rPr>
        <w:t>Vanson</w:t>
      </w:r>
      <w:proofErr w:type="spellEnd"/>
      <w:r w:rsidR="007B39AC" w:rsidRPr="00EF4DD3">
        <w:rPr>
          <w:rFonts w:asciiTheme="majorHAnsi" w:hAnsiTheme="majorHAnsi"/>
          <w:sz w:val="24"/>
          <w:szCs w:val="24"/>
        </w:rPr>
        <w:t xml:space="preserve"> Nguyen’s Facebook page receiving 41 responses.</w:t>
      </w:r>
    </w:p>
    <w:p w:rsidR="007B39AC" w:rsidRPr="00EF4DD3" w:rsidRDefault="007B39AC" w:rsidP="007B39AC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</w:p>
    <w:p w:rsidR="007B39AC" w:rsidRPr="00EF4DD3" w:rsidRDefault="007B39AC" w:rsidP="007B39AC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EF4DD3">
        <w:rPr>
          <w:rFonts w:asciiTheme="majorHAnsi" w:hAnsiTheme="majorHAnsi"/>
          <w:b/>
          <w:sz w:val="24"/>
          <w:szCs w:val="24"/>
        </w:rPr>
        <w:t>Faculty Survey</w:t>
      </w:r>
    </w:p>
    <w:p w:rsidR="007B39AC" w:rsidRPr="00EF4DD3" w:rsidRDefault="007B39AC" w:rsidP="007B39AC">
      <w:pPr>
        <w:spacing w:after="12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EF4DD3">
        <w:rPr>
          <w:rFonts w:asciiTheme="majorHAnsi" w:hAnsiTheme="majorHAnsi"/>
          <w:sz w:val="24"/>
          <w:szCs w:val="24"/>
        </w:rPr>
        <w:t>Faculty were</w:t>
      </w:r>
      <w:proofErr w:type="gramEnd"/>
      <w:r w:rsidRPr="00EF4DD3">
        <w:rPr>
          <w:rFonts w:asciiTheme="majorHAnsi" w:hAnsiTheme="majorHAnsi"/>
          <w:sz w:val="24"/>
          <w:szCs w:val="24"/>
        </w:rPr>
        <w:t xml:space="preserve"> asked:</w:t>
      </w:r>
    </w:p>
    <w:p w:rsidR="007B39AC" w:rsidRPr="00EF4DD3" w:rsidRDefault="007B39AC" w:rsidP="007B39AC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About involvement on campus</w:t>
      </w:r>
    </w:p>
    <w:p w:rsidR="007B39AC" w:rsidRPr="00EF4DD3" w:rsidRDefault="007B39AC" w:rsidP="007B39AC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If they receive financial aid information</w:t>
      </w:r>
    </w:p>
    <w:p w:rsidR="007B39AC" w:rsidRPr="00EF4DD3" w:rsidRDefault="007B39AC" w:rsidP="007B39AC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If they receive scholarship information</w:t>
      </w:r>
    </w:p>
    <w:p w:rsidR="007B39AC" w:rsidRPr="00EF4DD3" w:rsidRDefault="007B39AC" w:rsidP="007B39AC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How they would share the above information</w:t>
      </w:r>
    </w:p>
    <w:p w:rsidR="007B39AC" w:rsidRPr="00EF4DD3" w:rsidRDefault="007B39AC" w:rsidP="007B39AC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What preference they have for receiving such information</w:t>
      </w:r>
    </w:p>
    <w:p w:rsidR="007B39AC" w:rsidRPr="00EF4DD3" w:rsidRDefault="007B39AC" w:rsidP="007B39AC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Reasons for not sharing the information</w:t>
      </w:r>
    </w:p>
    <w:p w:rsidR="007B39AC" w:rsidRPr="00EF4DD3" w:rsidRDefault="007B39AC" w:rsidP="007B39AC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7B39AC" w:rsidRPr="00EF4DD3" w:rsidRDefault="007B39AC" w:rsidP="007B39AC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EF4DD3">
        <w:rPr>
          <w:rFonts w:asciiTheme="majorHAnsi" w:hAnsiTheme="majorHAnsi"/>
          <w:b/>
          <w:sz w:val="24"/>
          <w:szCs w:val="24"/>
        </w:rPr>
        <w:t>Faculty Survey Findings Summary</w:t>
      </w:r>
    </w:p>
    <w:p w:rsidR="007B39AC" w:rsidRPr="00EF4DD3" w:rsidRDefault="007B39AC" w:rsidP="007B39AC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Faculty who responded indicated that the best ways to receive information:</w:t>
      </w:r>
    </w:p>
    <w:p w:rsidR="007B39AC" w:rsidRPr="00EF4DD3" w:rsidRDefault="007B39AC" w:rsidP="007B39AC">
      <w:pPr>
        <w:pStyle w:val="ListParagraph"/>
        <w:numPr>
          <w:ilvl w:val="0"/>
          <w:numId w:val="3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 xml:space="preserve">Via email </w:t>
      </w:r>
    </w:p>
    <w:p w:rsidR="007B39AC" w:rsidRPr="00EF4DD3" w:rsidRDefault="007B39AC" w:rsidP="007B39AC">
      <w:pPr>
        <w:pStyle w:val="ListParagraph"/>
        <w:numPr>
          <w:ilvl w:val="0"/>
          <w:numId w:val="3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Classroom presentation by Financial Aid Office</w:t>
      </w:r>
    </w:p>
    <w:p w:rsidR="007B39AC" w:rsidRPr="00EF4DD3" w:rsidRDefault="007B39AC" w:rsidP="007B39AC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Best ways to disseminate information to students:</w:t>
      </w:r>
    </w:p>
    <w:p w:rsidR="007B39AC" w:rsidRPr="00EF4DD3" w:rsidRDefault="007B39AC" w:rsidP="007B39AC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Via email</w:t>
      </w:r>
    </w:p>
    <w:p w:rsidR="007B39AC" w:rsidRPr="00EF4DD3" w:rsidRDefault="007B39AC" w:rsidP="007B39AC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Announcements in</w:t>
      </w:r>
      <w:r w:rsidR="007B2CD5" w:rsidRPr="00EF4DD3">
        <w:rPr>
          <w:rFonts w:asciiTheme="majorHAnsi" w:hAnsiTheme="majorHAnsi"/>
          <w:sz w:val="24"/>
          <w:szCs w:val="24"/>
        </w:rPr>
        <w:t xml:space="preserve"> the classroom</w:t>
      </w:r>
    </w:p>
    <w:p w:rsidR="007B2CD5" w:rsidRPr="00EF4DD3" w:rsidRDefault="007B2CD5" w:rsidP="007B2CD5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7B39AC" w:rsidRPr="00EF4DD3" w:rsidRDefault="007B39AC" w:rsidP="007B2CD5">
      <w:pPr>
        <w:pStyle w:val="ListParagraph"/>
        <w:numPr>
          <w:ilvl w:val="0"/>
          <w:numId w:val="8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Those involved with Learning Communities were more likely to respond with a “yes” when asked whether they receive financial aid and scholarship information.</w:t>
      </w:r>
    </w:p>
    <w:p w:rsidR="007B39AC" w:rsidRPr="00EF4DD3" w:rsidRDefault="007B39AC" w:rsidP="007B39AC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3 faculty members responded as to why they did not share the information received</w:t>
      </w:r>
    </w:p>
    <w:p w:rsidR="007B39AC" w:rsidRPr="00EF4DD3" w:rsidRDefault="007B39AC" w:rsidP="007B39AC">
      <w:pPr>
        <w:pStyle w:val="ListParagraph"/>
        <w:numPr>
          <w:ilvl w:val="0"/>
          <w:numId w:val="6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2 assumed students already knew</w:t>
      </w:r>
    </w:p>
    <w:p w:rsidR="007B39AC" w:rsidRPr="00EF4DD3" w:rsidRDefault="007B39AC" w:rsidP="007B39AC">
      <w:pPr>
        <w:pStyle w:val="ListParagraph"/>
        <w:numPr>
          <w:ilvl w:val="0"/>
          <w:numId w:val="6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1 needed time to cover content</w:t>
      </w:r>
    </w:p>
    <w:p w:rsidR="007B2CD5" w:rsidRPr="00EF4DD3" w:rsidRDefault="007B2CD5" w:rsidP="00EC63CB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</w:p>
    <w:p w:rsidR="00EC63CB" w:rsidRPr="00EF4DD3" w:rsidRDefault="00EC63CB" w:rsidP="00EC63CB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EF4DD3">
        <w:rPr>
          <w:rFonts w:asciiTheme="majorHAnsi" w:hAnsiTheme="majorHAnsi"/>
          <w:b/>
          <w:sz w:val="24"/>
          <w:szCs w:val="24"/>
        </w:rPr>
        <w:t>Hard Copy Student Survey Findings</w:t>
      </w:r>
    </w:p>
    <w:p w:rsidR="00EC63CB" w:rsidRPr="00EF4DD3" w:rsidRDefault="00EC63CB" w:rsidP="00EC63CB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The top 3 ways students heard about scholarships include:</w:t>
      </w:r>
    </w:p>
    <w:p w:rsidR="00EC63CB" w:rsidRPr="00EF4DD3" w:rsidRDefault="00EC63CB" w:rsidP="00EC63CB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Word of Mouth</w:t>
      </w:r>
    </w:p>
    <w:p w:rsidR="00EC63CB" w:rsidRPr="00EF4DD3" w:rsidRDefault="00EC63CB" w:rsidP="00EC63CB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Instructor</w:t>
      </w:r>
    </w:p>
    <w:p w:rsidR="00EC63CB" w:rsidRPr="00EF4DD3" w:rsidRDefault="00EC63CB" w:rsidP="00EC63CB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Classroom Presentation</w:t>
      </w:r>
    </w:p>
    <w:p w:rsidR="007B2CD5" w:rsidRPr="00EF4DD3" w:rsidRDefault="007B2CD5" w:rsidP="007B2CD5">
      <w:pPr>
        <w:pStyle w:val="ListParagraph"/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EC63CB" w:rsidRPr="00EF4DD3" w:rsidRDefault="00EC63CB" w:rsidP="007B2CD5">
      <w:pPr>
        <w:pStyle w:val="ListParagraph"/>
        <w:numPr>
          <w:ilvl w:val="0"/>
          <w:numId w:val="8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 xml:space="preserve">There were not significant differences in the </w:t>
      </w:r>
      <w:r w:rsidR="007B2CD5" w:rsidRPr="00EF4DD3">
        <w:rPr>
          <w:rFonts w:asciiTheme="majorHAnsi" w:hAnsiTheme="majorHAnsi"/>
          <w:sz w:val="24"/>
          <w:szCs w:val="24"/>
        </w:rPr>
        <w:t>responses of the first-year students versus the non-first-year students.</w:t>
      </w:r>
    </w:p>
    <w:p w:rsidR="007B2CD5" w:rsidRPr="00EF4DD3" w:rsidRDefault="007B2CD5" w:rsidP="007B2CD5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Why students applied for scholarships</w:t>
      </w:r>
      <w:r w:rsidR="0059413A" w:rsidRPr="00EF4DD3">
        <w:rPr>
          <w:rFonts w:asciiTheme="majorHAnsi" w:hAnsiTheme="majorHAnsi"/>
          <w:sz w:val="24"/>
          <w:szCs w:val="24"/>
        </w:rPr>
        <w:t>/financial aid</w:t>
      </w:r>
      <w:r w:rsidRPr="00EF4DD3">
        <w:rPr>
          <w:rFonts w:asciiTheme="majorHAnsi" w:hAnsiTheme="majorHAnsi"/>
          <w:sz w:val="24"/>
          <w:szCs w:val="24"/>
        </w:rPr>
        <w:t>:</w:t>
      </w:r>
    </w:p>
    <w:p w:rsidR="007B2CD5" w:rsidRPr="00EF4DD3" w:rsidRDefault="007B2CD5" w:rsidP="007B2CD5">
      <w:pPr>
        <w:pStyle w:val="ListParagraph"/>
        <w:numPr>
          <w:ilvl w:val="0"/>
          <w:numId w:val="9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16 students responded</w:t>
      </w:r>
    </w:p>
    <w:p w:rsidR="007B2CD5" w:rsidRPr="00EF4DD3" w:rsidRDefault="007B2CD5" w:rsidP="007B2CD5">
      <w:pPr>
        <w:pStyle w:val="ListParagraph"/>
        <w:numPr>
          <w:ilvl w:val="0"/>
          <w:numId w:val="9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56% said they needed the money</w:t>
      </w:r>
    </w:p>
    <w:p w:rsidR="007B2CD5" w:rsidRPr="00EF4DD3" w:rsidRDefault="007B2CD5" w:rsidP="007B2CD5">
      <w:pPr>
        <w:pStyle w:val="ListParagraph"/>
        <w:numPr>
          <w:ilvl w:val="0"/>
          <w:numId w:val="9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31% said scholarships help</w:t>
      </w:r>
    </w:p>
    <w:p w:rsidR="007B2CD5" w:rsidRPr="00EF4DD3" w:rsidRDefault="007B2CD5" w:rsidP="007B2CD5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 xml:space="preserve">Why students didn’t apply for </w:t>
      </w:r>
      <w:r w:rsidR="0059413A" w:rsidRPr="00EF4DD3">
        <w:rPr>
          <w:rFonts w:asciiTheme="majorHAnsi" w:hAnsiTheme="majorHAnsi"/>
          <w:sz w:val="24"/>
          <w:szCs w:val="24"/>
        </w:rPr>
        <w:t>scholarships/financial aid</w:t>
      </w:r>
      <w:r w:rsidRPr="00EF4DD3">
        <w:rPr>
          <w:rFonts w:asciiTheme="majorHAnsi" w:hAnsiTheme="majorHAnsi"/>
          <w:sz w:val="24"/>
          <w:szCs w:val="24"/>
        </w:rPr>
        <w:t>:</w:t>
      </w:r>
    </w:p>
    <w:p w:rsidR="007B2CD5" w:rsidRPr="00EF4DD3" w:rsidRDefault="007B2CD5" w:rsidP="007B2CD5">
      <w:pPr>
        <w:pStyle w:val="ListParagraph"/>
        <w:numPr>
          <w:ilvl w:val="0"/>
          <w:numId w:val="1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23% said they didn’t know</w:t>
      </w:r>
    </w:p>
    <w:p w:rsidR="007B2CD5" w:rsidRPr="00EF4DD3" w:rsidRDefault="007B2CD5" w:rsidP="007B2CD5">
      <w:pPr>
        <w:pStyle w:val="ListParagraph"/>
        <w:numPr>
          <w:ilvl w:val="0"/>
          <w:numId w:val="1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19% said they didn’t meet the requirements</w:t>
      </w:r>
    </w:p>
    <w:p w:rsidR="007B2CD5" w:rsidRPr="00EF4DD3" w:rsidRDefault="007B2CD5" w:rsidP="007B2CD5">
      <w:pPr>
        <w:pStyle w:val="ListParagraph"/>
        <w:numPr>
          <w:ilvl w:val="0"/>
          <w:numId w:val="1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17% said they were too lazy</w:t>
      </w:r>
    </w:p>
    <w:p w:rsidR="007B2CD5" w:rsidRPr="00EF4DD3" w:rsidRDefault="007B2CD5" w:rsidP="007B2CD5">
      <w:pPr>
        <w:pStyle w:val="ListParagraph"/>
        <w:numPr>
          <w:ilvl w:val="0"/>
          <w:numId w:val="1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No students indicated that they applied because someone told them to</w:t>
      </w:r>
    </w:p>
    <w:p w:rsidR="007B2CD5" w:rsidRPr="00EF4DD3" w:rsidRDefault="007B2CD5" w:rsidP="007B2CD5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EF4DD3">
        <w:rPr>
          <w:rFonts w:asciiTheme="majorHAnsi" w:hAnsiTheme="majorHAnsi"/>
          <w:b/>
          <w:sz w:val="24"/>
          <w:szCs w:val="24"/>
        </w:rPr>
        <w:t>Online Student Survey Findings</w:t>
      </w:r>
    </w:p>
    <w:p w:rsidR="007B2CD5" w:rsidRPr="00EF4DD3" w:rsidRDefault="009A4E36" w:rsidP="007B2CD5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Top 3 ways students heard about scholarships</w:t>
      </w:r>
    </w:p>
    <w:p w:rsidR="009A4E36" w:rsidRPr="00EF4DD3" w:rsidRDefault="009A4E36" w:rsidP="009A4E36">
      <w:pPr>
        <w:pStyle w:val="ListParagraph"/>
        <w:numPr>
          <w:ilvl w:val="0"/>
          <w:numId w:val="11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Instructor</w:t>
      </w:r>
    </w:p>
    <w:p w:rsidR="009A4E36" w:rsidRPr="00EF4DD3" w:rsidRDefault="009A4E36" w:rsidP="009A4E36">
      <w:pPr>
        <w:pStyle w:val="ListParagraph"/>
        <w:numPr>
          <w:ilvl w:val="0"/>
          <w:numId w:val="11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Word of Mouth</w:t>
      </w:r>
    </w:p>
    <w:p w:rsidR="009A4E36" w:rsidRPr="00EF4DD3" w:rsidRDefault="009A4E36" w:rsidP="009A4E36">
      <w:pPr>
        <w:pStyle w:val="ListParagraph"/>
        <w:numPr>
          <w:ilvl w:val="0"/>
          <w:numId w:val="11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Classroom Presentations</w:t>
      </w:r>
    </w:p>
    <w:p w:rsidR="009A4E36" w:rsidRPr="00EF4DD3" w:rsidRDefault="009A4E36" w:rsidP="009A4E36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lastRenderedPageBreak/>
        <w:t>Top responses as to why they did or did not apply</w:t>
      </w:r>
    </w:p>
    <w:p w:rsidR="009A4E36" w:rsidRPr="00EF4DD3" w:rsidRDefault="009A4E36" w:rsidP="009A4E36">
      <w:pPr>
        <w:pStyle w:val="ListParagraph"/>
        <w:numPr>
          <w:ilvl w:val="0"/>
          <w:numId w:val="12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Money (those that applied)</w:t>
      </w:r>
    </w:p>
    <w:p w:rsidR="009A4E36" w:rsidRPr="00EF4DD3" w:rsidRDefault="009A4E36" w:rsidP="009A4E36">
      <w:pPr>
        <w:pStyle w:val="ListParagraph"/>
        <w:numPr>
          <w:ilvl w:val="0"/>
          <w:numId w:val="12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Didn’t know (those that didn’t apply)</w:t>
      </w:r>
    </w:p>
    <w:p w:rsidR="009A4E36" w:rsidRPr="00EF4DD3" w:rsidRDefault="009A4E36" w:rsidP="009A4E36">
      <w:pPr>
        <w:pStyle w:val="ListParagraph"/>
        <w:numPr>
          <w:ilvl w:val="0"/>
          <w:numId w:val="12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Didn’t meet the requirements (those that didn’t apply)</w:t>
      </w:r>
    </w:p>
    <w:p w:rsidR="009A4E36" w:rsidRPr="00EF4DD3" w:rsidRDefault="009A4E36" w:rsidP="009A4E36">
      <w:pPr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9A4E36" w:rsidRPr="00EF4DD3" w:rsidRDefault="009A4E36" w:rsidP="009A4E36">
      <w:pPr>
        <w:pStyle w:val="ListParagraph"/>
        <w:numPr>
          <w:ilvl w:val="0"/>
          <w:numId w:val="8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Only 2 students said they applied because someone referred them.</w:t>
      </w:r>
    </w:p>
    <w:p w:rsidR="009A4E36" w:rsidRPr="00EF4DD3" w:rsidRDefault="009A4E36" w:rsidP="009A4E36">
      <w:pPr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9A4E36" w:rsidRPr="00EF4DD3" w:rsidRDefault="009A4E36" w:rsidP="009A4E36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EF4DD3">
        <w:rPr>
          <w:rFonts w:asciiTheme="majorHAnsi" w:hAnsiTheme="majorHAnsi"/>
          <w:b/>
          <w:sz w:val="24"/>
          <w:szCs w:val="24"/>
        </w:rPr>
        <w:t>Positives &amp; Opportunities</w:t>
      </w:r>
    </w:p>
    <w:p w:rsidR="00F0097F" w:rsidRPr="00EF4DD3" w:rsidRDefault="00F0097F" w:rsidP="00F0097F">
      <w:pPr>
        <w:pStyle w:val="ListParagraph"/>
        <w:numPr>
          <w:ilvl w:val="0"/>
          <w:numId w:val="13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First iteration of data gathering/inquiry is complete</w:t>
      </w:r>
    </w:p>
    <w:p w:rsidR="00F0097F" w:rsidRPr="00EF4DD3" w:rsidRDefault="00F0097F" w:rsidP="00F0097F">
      <w:pPr>
        <w:pStyle w:val="ListParagraph"/>
        <w:numPr>
          <w:ilvl w:val="0"/>
          <w:numId w:val="13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Interesting data to inform the communication effort on campus</w:t>
      </w:r>
    </w:p>
    <w:p w:rsidR="00F0097F" w:rsidRPr="00EF4DD3" w:rsidRDefault="00F0097F" w:rsidP="00F0097F">
      <w:pPr>
        <w:pStyle w:val="ListParagraph"/>
        <w:numPr>
          <w:ilvl w:val="0"/>
          <w:numId w:val="13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Learned more about students and faculty</w:t>
      </w:r>
    </w:p>
    <w:p w:rsidR="00F0097F" w:rsidRPr="00EF4DD3" w:rsidRDefault="00F0097F" w:rsidP="00F0097F">
      <w:pPr>
        <w:pStyle w:val="ListParagraph"/>
        <w:numPr>
          <w:ilvl w:val="0"/>
          <w:numId w:val="13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Involve the scholarship staff in the process in the future</w:t>
      </w:r>
    </w:p>
    <w:p w:rsidR="00F0097F" w:rsidRPr="00EF4DD3" w:rsidRDefault="00F0097F" w:rsidP="00F0097F">
      <w:pPr>
        <w:pStyle w:val="ListParagraph"/>
        <w:numPr>
          <w:ilvl w:val="0"/>
          <w:numId w:val="13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Share the data gathering process</w:t>
      </w:r>
    </w:p>
    <w:p w:rsidR="00F0097F" w:rsidRPr="00EF4DD3" w:rsidRDefault="00F0097F" w:rsidP="00F0097F">
      <w:pPr>
        <w:pStyle w:val="ListParagraph"/>
        <w:numPr>
          <w:ilvl w:val="0"/>
          <w:numId w:val="13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sz w:val="24"/>
          <w:szCs w:val="24"/>
        </w:rPr>
        <w:t>Conduct subsequent iterations of the survey</w:t>
      </w:r>
    </w:p>
    <w:p w:rsidR="00EF4DD3" w:rsidRPr="00EF4DD3" w:rsidRDefault="00EF4DD3" w:rsidP="00EF4DD3">
      <w:pPr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EF4DD3" w:rsidRPr="00EF4DD3" w:rsidRDefault="00EF4DD3" w:rsidP="00EF4DD3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EF4DD3">
        <w:rPr>
          <w:rFonts w:asciiTheme="majorHAnsi" w:hAnsiTheme="majorHAnsi"/>
          <w:b/>
          <w:sz w:val="24"/>
          <w:szCs w:val="24"/>
        </w:rPr>
        <w:t>Implications/Interpretations</w:t>
      </w:r>
    </w:p>
    <w:p w:rsidR="00EF4DD3" w:rsidRPr="00EF4DD3" w:rsidRDefault="00EF4DD3" w:rsidP="00EF4DD3">
      <w:pPr>
        <w:pStyle w:val="ListParagraph"/>
        <w:numPr>
          <w:ilvl w:val="0"/>
          <w:numId w:val="1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color w:val="000000"/>
          <w:sz w:val="24"/>
          <w:szCs w:val="24"/>
        </w:rPr>
        <w:t>High touch activities are effective; instructor and classroom presentations were among top responses of how students received information</w:t>
      </w:r>
    </w:p>
    <w:p w:rsidR="00EF4DD3" w:rsidRPr="00EF4DD3" w:rsidRDefault="00EF4DD3" w:rsidP="00EF4DD3">
      <w:pPr>
        <w:pStyle w:val="ListParagraph"/>
        <w:numPr>
          <w:ilvl w:val="0"/>
          <w:numId w:val="1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EF4DD3">
        <w:rPr>
          <w:rFonts w:asciiTheme="majorHAnsi" w:hAnsiTheme="majorHAnsi"/>
          <w:color w:val="000000"/>
          <w:sz w:val="24"/>
          <w:szCs w:val="24"/>
        </w:rPr>
        <w:t>Faculty from learning communities were</w:t>
      </w:r>
      <w:proofErr w:type="gramEnd"/>
      <w:r w:rsidRPr="00EF4DD3">
        <w:rPr>
          <w:rFonts w:asciiTheme="majorHAnsi" w:hAnsiTheme="majorHAnsi"/>
          <w:color w:val="000000"/>
          <w:sz w:val="24"/>
          <w:szCs w:val="24"/>
        </w:rPr>
        <w:t xml:space="preserve"> more likely to say they received scholarship information. This may be because learning communities emphasize utilization of student services as support to instruction.</w:t>
      </w:r>
    </w:p>
    <w:p w:rsidR="00EF4DD3" w:rsidRPr="00EF4DD3" w:rsidRDefault="00EF4DD3" w:rsidP="00EF4DD3">
      <w:pPr>
        <w:pStyle w:val="ListParagraph"/>
        <w:numPr>
          <w:ilvl w:val="0"/>
          <w:numId w:val="14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EF4DD3">
        <w:rPr>
          <w:rFonts w:asciiTheme="majorHAnsi" w:hAnsiTheme="majorHAnsi"/>
          <w:color w:val="000000"/>
          <w:sz w:val="24"/>
          <w:szCs w:val="24"/>
        </w:rPr>
        <w:t>On November 5, the Financial Aid office is holding an event in the quad providing root beer floats for students to promote national scholarship month.</w:t>
      </w:r>
    </w:p>
    <w:p w:rsidR="00EF4DD3" w:rsidRPr="00EF4DD3" w:rsidRDefault="00EF4DD3" w:rsidP="00EF4DD3">
      <w:pPr>
        <w:pStyle w:val="NormalWeb"/>
        <w:numPr>
          <w:ilvl w:val="0"/>
          <w:numId w:val="14"/>
        </w:numPr>
        <w:rPr>
          <w:rFonts w:asciiTheme="majorHAnsi" w:hAnsiTheme="majorHAnsi"/>
          <w:color w:val="000000"/>
        </w:rPr>
      </w:pPr>
      <w:r w:rsidRPr="00EF4DD3">
        <w:rPr>
          <w:rFonts w:asciiTheme="majorHAnsi" w:hAnsiTheme="majorHAnsi"/>
          <w:color w:val="000000"/>
        </w:rPr>
        <w:t xml:space="preserve">The SEEED committee is developing an outreach plan to inform campus of all work done by the committee. </w:t>
      </w:r>
    </w:p>
    <w:sectPr w:rsidR="00EF4DD3" w:rsidRPr="00EF4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287"/>
    <w:multiLevelType w:val="hybridMultilevel"/>
    <w:tmpl w:val="7590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2658"/>
    <w:multiLevelType w:val="hybridMultilevel"/>
    <w:tmpl w:val="50B49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332C"/>
    <w:multiLevelType w:val="hybridMultilevel"/>
    <w:tmpl w:val="9D7C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3AAA"/>
    <w:multiLevelType w:val="hybridMultilevel"/>
    <w:tmpl w:val="9138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C3197"/>
    <w:multiLevelType w:val="hybridMultilevel"/>
    <w:tmpl w:val="725A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D11AE"/>
    <w:multiLevelType w:val="hybridMultilevel"/>
    <w:tmpl w:val="32241D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FF477B"/>
    <w:multiLevelType w:val="hybridMultilevel"/>
    <w:tmpl w:val="F83E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B091C"/>
    <w:multiLevelType w:val="hybridMultilevel"/>
    <w:tmpl w:val="656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60F"/>
    <w:multiLevelType w:val="hybridMultilevel"/>
    <w:tmpl w:val="BF78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C173E"/>
    <w:multiLevelType w:val="hybridMultilevel"/>
    <w:tmpl w:val="AD4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6356F"/>
    <w:multiLevelType w:val="hybridMultilevel"/>
    <w:tmpl w:val="3BB2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8789E"/>
    <w:multiLevelType w:val="hybridMultilevel"/>
    <w:tmpl w:val="538A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A0129"/>
    <w:multiLevelType w:val="hybridMultilevel"/>
    <w:tmpl w:val="1AA8E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10403"/>
    <w:multiLevelType w:val="hybridMultilevel"/>
    <w:tmpl w:val="4BE8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3"/>
  </w:num>
  <w:num w:numId="7">
    <w:abstractNumId w:val="11"/>
  </w:num>
  <w:num w:numId="8">
    <w:abstractNumId w:val="5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13"/>
    <w:rsid w:val="00156025"/>
    <w:rsid w:val="0059413A"/>
    <w:rsid w:val="007B2CD5"/>
    <w:rsid w:val="007B39AC"/>
    <w:rsid w:val="009A4E36"/>
    <w:rsid w:val="00A00213"/>
    <w:rsid w:val="00DB1686"/>
    <w:rsid w:val="00DB1F4C"/>
    <w:rsid w:val="00EC63CB"/>
    <w:rsid w:val="00EF4DD3"/>
    <w:rsid w:val="00F0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828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62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Napier, Cherie</dc:creator>
  <cp:lastModifiedBy>Nguyen, Vanson</cp:lastModifiedBy>
  <cp:revision>2</cp:revision>
  <cp:lastPrinted>2012-09-25T21:10:00Z</cp:lastPrinted>
  <dcterms:created xsi:type="dcterms:W3CDTF">2012-11-14T16:11:00Z</dcterms:created>
  <dcterms:modified xsi:type="dcterms:W3CDTF">2012-11-14T16:11:00Z</dcterms:modified>
</cp:coreProperties>
</file>